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AA" w:rsidRPr="00801E69" w:rsidRDefault="00AC4D95" w:rsidP="00854901">
      <w:pPr>
        <w:rPr>
          <w:b/>
        </w:rPr>
      </w:pPr>
      <w:bookmarkStart w:id="0" w:name="_GoBack"/>
      <w:bookmarkEnd w:id="0"/>
      <w:r w:rsidRPr="00801E69">
        <w:t>Name</w:t>
      </w:r>
      <w:proofErr w:type="gramStart"/>
      <w:r w:rsidRPr="00801E69">
        <w:t>:_</w:t>
      </w:r>
      <w:proofErr w:type="gramEnd"/>
      <w:r w:rsidRPr="00801E69">
        <w:t>__________</w:t>
      </w:r>
      <w:r w:rsidR="00854901">
        <w:t xml:space="preserve">____________________________        </w:t>
      </w:r>
      <w:r w:rsidRPr="00801E69">
        <w:rPr>
          <w:b/>
        </w:rPr>
        <w:t xml:space="preserve">AP Statistics </w:t>
      </w:r>
      <w:proofErr w:type="spellStart"/>
      <w:r w:rsidR="000A62AA" w:rsidRPr="00801E69">
        <w:rPr>
          <w:b/>
        </w:rPr>
        <w:t>Ch</w:t>
      </w:r>
      <w:proofErr w:type="spellEnd"/>
      <w:r w:rsidR="000A62AA" w:rsidRPr="00801E69">
        <w:rPr>
          <w:b/>
        </w:rPr>
        <w:t xml:space="preserve"> </w:t>
      </w:r>
      <w:r w:rsidR="00CC205F">
        <w:rPr>
          <w:b/>
        </w:rPr>
        <w:t>1</w:t>
      </w:r>
      <w:r w:rsidR="000A62AA" w:rsidRPr="00801E69">
        <w:rPr>
          <w:b/>
        </w:rPr>
        <w:t xml:space="preserve">3 </w:t>
      </w:r>
      <w:r w:rsidR="00854901">
        <w:rPr>
          <w:b/>
        </w:rPr>
        <w:t>Graded Assignment</w:t>
      </w:r>
    </w:p>
    <w:p w:rsidR="000A62AA" w:rsidRPr="00801E69" w:rsidRDefault="000A62AA">
      <w:pPr>
        <w:jc w:val="center"/>
        <w:rPr>
          <w:b/>
        </w:rPr>
      </w:pPr>
    </w:p>
    <w:p w:rsidR="000A62AA" w:rsidRPr="00801E69" w:rsidRDefault="00CC205F">
      <w:r>
        <w:t>1</w:t>
      </w:r>
      <w:r w:rsidR="000A62AA" w:rsidRPr="00801E69">
        <w:t>.  It is common folk wisdom that drinking cranberry juice can help prevent urinary tract infections in women.  In 2001, the British Medical Journal reported the results of a Finnish study in which three groups of 50 women were monitored for these infections over 6 months.  One group drank cranberry juice daily.  Another group drank a lactobacillus drink, and the third drank neither of these beverages, serving as the control group.  In the control group, 18 women developed at least one infection compared with 20 who drank the lactobacillus drink and only 8 of those who drank the cranberry juice.  Does this study provide supporting evidence for the value of cranberry juice in warding off urinary tract infections?</w:t>
      </w:r>
    </w:p>
    <w:p w:rsidR="000A62AA" w:rsidRDefault="000A62AA"/>
    <w:p w:rsidR="00CC205F" w:rsidRDefault="00CC205F"/>
    <w:p w:rsidR="00CC205F" w:rsidRDefault="00CC205F"/>
    <w:p w:rsidR="00854901" w:rsidRDefault="00854901"/>
    <w:p w:rsidR="00854901" w:rsidRDefault="00854901"/>
    <w:p w:rsidR="00854901" w:rsidRDefault="00854901"/>
    <w:p w:rsidR="00854901" w:rsidRDefault="00854901"/>
    <w:p w:rsidR="00854901" w:rsidRDefault="00854901"/>
    <w:p w:rsidR="00854901" w:rsidRDefault="00854901"/>
    <w:p w:rsidR="00854901" w:rsidRDefault="00854901"/>
    <w:p w:rsidR="00854901" w:rsidRDefault="00854901"/>
    <w:p w:rsidR="00854901" w:rsidRDefault="00854901"/>
    <w:p w:rsidR="00854901" w:rsidRDefault="00854901"/>
    <w:p w:rsidR="00854901" w:rsidRDefault="00854901"/>
    <w:p w:rsidR="00854901" w:rsidRDefault="00854901"/>
    <w:p w:rsidR="00854901" w:rsidRDefault="00854901"/>
    <w:p w:rsidR="00CC205F" w:rsidRDefault="00CC205F"/>
    <w:p w:rsidR="000A62AA" w:rsidRPr="00801E69" w:rsidRDefault="00854901">
      <w:r>
        <w:t>2</w:t>
      </w:r>
      <w:r w:rsidR="00C7776A" w:rsidRPr="00801E69">
        <w:t>.</w:t>
      </w:r>
      <w:r w:rsidR="000A62AA" w:rsidRPr="00801E69">
        <w:t xml:space="preserve">  Some people believe that a full moon elicits unusual behavior in people.  The table shows the number of arrests made in a small town during weeks of six full moons and six other randomly selected weeks during the same year.  Is there evidence of a difference in the types of illegal activity that takes place?</w:t>
      </w:r>
    </w:p>
    <w:p w:rsidR="000A62AA" w:rsidRPr="00801E69" w:rsidRDefault="000A62AA"/>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00"/>
        <w:gridCol w:w="1860"/>
      </w:tblGrid>
      <w:tr w:rsidR="000A62AA" w:rsidRPr="00801E69" w:rsidTr="00854901">
        <w:tc>
          <w:tcPr>
            <w:tcW w:w="3960" w:type="dxa"/>
          </w:tcPr>
          <w:p w:rsidR="000A62AA" w:rsidRPr="00801E69" w:rsidRDefault="000A62AA">
            <w:pPr>
              <w:jc w:val="center"/>
              <w:rPr>
                <w:b/>
                <w:i/>
              </w:rPr>
            </w:pPr>
            <w:r w:rsidRPr="00801E69">
              <w:rPr>
                <w:b/>
                <w:i/>
              </w:rPr>
              <w:t>Offense</w:t>
            </w:r>
          </w:p>
        </w:tc>
        <w:tc>
          <w:tcPr>
            <w:tcW w:w="1200" w:type="dxa"/>
          </w:tcPr>
          <w:p w:rsidR="000A62AA" w:rsidRPr="00801E69" w:rsidRDefault="000A62AA">
            <w:pPr>
              <w:jc w:val="center"/>
              <w:rPr>
                <w:b/>
                <w:i/>
              </w:rPr>
            </w:pPr>
            <w:r w:rsidRPr="00801E69">
              <w:rPr>
                <w:b/>
                <w:i/>
              </w:rPr>
              <w:t>full moon</w:t>
            </w:r>
          </w:p>
        </w:tc>
        <w:tc>
          <w:tcPr>
            <w:tcW w:w="1860" w:type="dxa"/>
          </w:tcPr>
          <w:p w:rsidR="000A62AA" w:rsidRPr="00801E69" w:rsidRDefault="000A62AA">
            <w:pPr>
              <w:jc w:val="center"/>
              <w:rPr>
                <w:b/>
                <w:i/>
              </w:rPr>
            </w:pPr>
            <w:r w:rsidRPr="00801E69">
              <w:rPr>
                <w:b/>
                <w:i/>
              </w:rPr>
              <w:t>not full moon</w:t>
            </w:r>
          </w:p>
        </w:tc>
      </w:tr>
      <w:tr w:rsidR="000A62AA" w:rsidRPr="00801E69" w:rsidTr="00854901">
        <w:tc>
          <w:tcPr>
            <w:tcW w:w="3960" w:type="dxa"/>
          </w:tcPr>
          <w:p w:rsidR="000A62AA" w:rsidRPr="00801E69" w:rsidRDefault="000A62AA">
            <w:pPr>
              <w:jc w:val="center"/>
              <w:rPr>
                <w:b/>
                <w:i/>
              </w:rPr>
            </w:pPr>
            <w:r w:rsidRPr="00801E69">
              <w:rPr>
                <w:b/>
                <w:i/>
              </w:rPr>
              <w:t>violent (murder, rape, assault, etc)</w:t>
            </w:r>
          </w:p>
        </w:tc>
        <w:tc>
          <w:tcPr>
            <w:tcW w:w="1200" w:type="dxa"/>
          </w:tcPr>
          <w:p w:rsidR="000A62AA" w:rsidRPr="00801E69" w:rsidRDefault="000A62AA">
            <w:pPr>
              <w:jc w:val="center"/>
            </w:pPr>
            <w:r w:rsidRPr="00801E69">
              <w:t>2</w:t>
            </w:r>
          </w:p>
        </w:tc>
        <w:tc>
          <w:tcPr>
            <w:tcW w:w="1860" w:type="dxa"/>
          </w:tcPr>
          <w:p w:rsidR="000A62AA" w:rsidRPr="00801E69" w:rsidRDefault="000A62AA">
            <w:pPr>
              <w:jc w:val="center"/>
            </w:pPr>
            <w:r w:rsidRPr="00801E69">
              <w:t>3</w:t>
            </w:r>
          </w:p>
        </w:tc>
      </w:tr>
      <w:tr w:rsidR="000A62AA" w:rsidRPr="00801E69" w:rsidTr="00854901">
        <w:tc>
          <w:tcPr>
            <w:tcW w:w="3960" w:type="dxa"/>
          </w:tcPr>
          <w:p w:rsidR="000A62AA" w:rsidRPr="00801E69" w:rsidRDefault="000A62AA">
            <w:pPr>
              <w:jc w:val="center"/>
              <w:rPr>
                <w:b/>
                <w:i/>
              </w:rPr>
            </w:pPr>
            <w:r w:rsidRPr="00801E69">
              <w:rPr>
                <w:b/>
                <w:i/>
              </w:rPr>
              <w:t>property (vandalism, burglary)</w:t>
            </w:r>
          </w:p>
        </w:tc>
        <w:tc>
          <w:tcPr>
            <w:tcW w:w="1200" w:type="dxa"/>
          </w:tcPr>
          <w:p w:rsidR="000A62AA" w:rsidRPr="00801E69" w:rsidRDefault="000A62AA">
            <w:pPr>
              <w:jc w:val="center"/>
            </w:pPr>
            <w:r w:rsidRPr="00801E69">
              <w:t>17</w:t>
            </w:r>
          </w:p>
        </w:tc>
        <w:tc>
          <w:tcPr>
            <w:tcW w:w="1860" w:type="dxa"/>
          </w:tcPr>
          <w:p w:rsidR="000A62AA" w:rsidRPr="00801E69" w:rsidRDefault="000A62AA">
            <w:pPr>
              <w:jc w:val="center"/>
            </w:pPr>
            <w:r w:rsidRPr="00801E69">
              <w:t>21</w:t>
            </w:r>
          </w:p>
        </w:tc>
      </w:tr>
      <w:tr w:rsidR="000A62AA" w:rsidRPr="00801E69" w:rsidTr="00854901">
        <w:tc>
          <w:tcPr>
            <w:tcW w:w="3960" w:type="dxa"/>
          </w:tcPr>
          <w:p w:rsidR="000A62AA" w:rsidRPr="00801E69" w:rsidRDefault="000A62AA">
            <w:pPr>
              <w:jc w:val="center"/>
              <w:rPr>
                <w:b/>
                <w:i/>
              </w:rPr>
            </w:pPr>
            <w:r w:rsidRPr="00801E69">
              <w:rPr>
                <w:b/>
                <w:i/>
              </w:rPr>
              <w:t>Drugs and alcohol related</w:t>
            </w:r>
          </w:p>
        </w:tc>
        <w:tc>
          <w:tcPr>
            <w:tcW w:w="1200" w:type="dxa"/>
          </w:tcPr>
          <w:p w:rsidR="000A62AA" w:rsidRPr="00801E69" w:rsidRDefault="000A62AA">
            <w:pPr>
              <w:jc w:val="center"/>
            </w:pPr>
            <w:r w:rsidRPr="00801E69">
              <w:t>27</w:t>
            </w:r>
          </w:p>
        </w:tc>
        <w:tc>
          <w:tcPr>
            <w:tcW w:w="1860" w:type="dxa"/>
          </w:tcPr>
          <w:p w:rsidR="000A62AA" w:rsidRPr="00801E69" w:rsidRDefault="000A62AA">
            <w:pPr>
              <w:jc w:val="center"/>
            </w:pPr>
            <w:r w:rsidRPr="00801E69">
              <w:t>19</w:t>
            </w:r>
          </w:p>
        </w:tc>
      </w:tr>
      <w:tr w:rsidR="000A62AA" w:rsidRPr="00801E69" w:rsidTr="00854901">
        <w:tc>
          <w:tcPr>
            <w:tcW w:w="3960" w:type="dxa"/>
          </w:tcPr>
          <w:p w:rsidR="000A62AA" w:rsidRPr="00801E69" w:rsidRDefault="000A62AA">
            <w:pPr>
              <w:jc w:val="center"/>
              <w:rPr>
                <w:b/>
                <w:i/>
              </w:rPr>
            </w:pPr>
            <w:r w:rsidRPr="00801E69">
              <w:rPr>
                <w:b/>
                <w:i/>
              </w:rPr>
              <w:t>domestic abuse</w:t>
            </w:r>
          </w:p>
        </w:tc>
        <w:tc>
          <w:tcPr>
            <w:tcW w:w="1200" w:type="dxa"/>
          </w:tcPr>
          <w:p w:rsidR="000A62AA" w:rsidRPr="00801E69" w:rsidRDefault="000A62AA">
            <w:pPr>
              <w:jc w:val="center"/>
            </w:pPr>
            <w:r w:rsidRPr="00801E69">
              <w:t>11</w:t>
            </w:r>
          </w:p>
        </w:tc>
        <w:tc>
          <w:tcPr>
            <w:tcW w:w="1860" w:type="dxa"/>
          </w:tcPr>
          <w:p w:rsidR="000A62AA" w:rsidRPr="00801E69" w:rsidRDefault="000A62AA">
            <w:pPr>
              <w:jc w:val="center"/>
            </w:pPr>
            <w:r w:rsidRPr="00801E69">
              <w:t>14</w:t>
            </w:r>
          </w:p>
        </w:tc>
      </w:tr>
      <w:tr w:rsidR="000A62AA" w:rsidRPr="00801E69" w:rsidTr="00854901">
        <w:tc>
          <w:tcPr>
            <w:tcW w:w="3960" w:type="dxa"/>
          </w:tcPr>
          <w:p w:rsidR="000A62AA" w:rsidRPr="00801E69" w:rsidRDefault="000A62AA">
            <w:pPr>
              <w:jc w:val="center"/>
              <w:rPr>
                <w:b/>
                <w:i/>
              </w:rPr>
            </w:pPr>
            <w:r w:rsidRPr="00801E69">
              <w:rPr>
                <w:b/>
                <w:i/>
              </w:rPr>
              <w:t>other offenses</w:t>
            </w:r>
          </w:p>
        </w:tc>
        <w:tc>
          <w:tcPr>
            <w:tcW w:w="1200" w:type="dxa"/>
          </w:tcPr>
          <w:p w:rsidR="000A62AA" w:rsidRPr="00801E69" w:rsidRDefault="000A62AA">
            <w:pPr>
              <w:jc w:val="center"/>
            </w:pPr>
            <w:r w:rsidRPr="00801E69">
              <w:t>9</w:t>
            </w:r>
          </w:p>
        </w:tc>
        <w:tc>
          <w:tcPr>
            <w:tcW w:w="1860" w:type="dxa"/>
          </w:tcPr>
          <w:p w:rsidR="000A62AA" w:rsidRPr="00801E69" w:rsidRDefault="000A62AA">
            <w:pPr>
              <w:jc w:val="center"/>
            </w:pPr>
            <w:r w:rsidRPr="00801E69">
              <w:t>6</w:t>
            </w:r>
          </w:p>
        </w:tc>
      </w:tr>
    </w:tbl>
    <w:p w:rsidR="00801E69" w:rsidRDefault="00801E69" w:rsidP="00801E69">
      <w:pPr>
        <w:ind w:left="720"/>
      </w:pPr>
    </w:p>
    <w:p w:rsidR="00801E69" w:rsidRDefault="00801E69" w:rsidP="00801E69">
      <w:pPr>
        <w:ind w:left="720"/>
      </w:pPr>
    </w:p>
    <w:p w:rsidR="00801E69" w:rsidRDefault="00801E69" w:rsidP="00801E69">
      <w:pPr>
        <w:ind w:left="720"/>
      </w:pPr>
    </w:p>
    <w:p w:rsidR="00CC205F" w:rsidRDefault="00CC205F" w:rsidP="00801E69">
      <w:pPr>
        <w:ind w:left="720"/>
      </w:pPr>
    </w:p>
    <w:p w:rsidR="00CC205F" w:rsidRDefault="00CC205F" w:rsidP="00801E69">
      <w:pPr>
        <w:ind w:left="720"/>
      </w:pPr>
    </w:p>
    <w:p w:rsidR="00CC205F" w:rsidRPr="00801E69" w:rsidRDefault="00CC205F" w:rsidP="00801E69">
      <w:pPr>
        <w:ind w:left="720"/>
      </w:pPr>
    </w:p>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54901">
      <w:r>
        <w:lastRenderedPageBreak/>
        <w:t>3</w:t>
      </w:r>
      <w:r w:rsidR="00801E69" w:rsidRPr="00801E69">
        <w:t xml:space="preserve">.  Market researchers know that background music can influence the mood and purchasing behavior of customers.  One study in a supermarket in Northern Ireland compared three treatments: no music, French accordion music, and Italian string music. Under each condition, the researchers recorded the numbers of bottles of French, Italian, and other wine purchased.  </w:t>
      </w:r>
      <w:r w:rsidRPr="00801E69">
        <w:t>Is there a relationship between the type of wine purchased and the type of music that is playing?</w:t>
      </w:r>
    </w:p>
    <w:tbl>
      <w:tblPr>
        <w:tblW w:w="0" w:type="auto"/>
        <w:tblInd w:w="2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08"/>
        <w:gridCol w:w="1008"/>
        <w:gridCol w:w="1008"/>
        <w:gridCol w:w="1008"/>
      </w:tblGrid>
      <w:tr w:rsidR="00801E69" w:rsidRPr="00801E69" w:rsidTr="00801E69">
        <w:tc>
          <w:tcPr>
            <w:tcW w:w="1008" w:type="dxa"/>
          </w:tcPr>
          <w:p w:rsidR="00801E69" w:rsidRPr="00801E69" w:rsidRDefault="00801E69" w:rsidP="00801E69">
            <w:pPr>
              <w:jc w:val="center"/>
            </w:pPr>
          </w:p>
        </w:tc>
        <w:tc>
          <w:tcPr>
            <w:tcW w:w="3024" w:type="dxa"/>
            <w:gridSpan w:val="3"/>
          </w:tcPr>
          <w:p w:rsidR="00801E69" w:rsidRPr="00801E69" w:rsidRDefault="00801E69" w:rsidP="00801E69">
            <w:pPr>
              <w:jc w:val="center"/>
              <w:rPr>
                <w:i/>
              </w:rPr>
            </w:pPr>
            <w:r w:rsidRPr="00801E69">
              <w:rPr>
                <w:i/>
              </w:rPr>
              <w:t>Type of Music</w:t>
            </w:r>
          </w:p>
        </w:tc>
        <w:tc>
          <w:tcPr>
            <w:tcW w:w="1008" w:type="dxa"/>
          </w:tcPr>
          <w:p w:rsidR="00801E69" w:rsidRPr="00801E69" w:rsidRDefault="00801E69" w:rsidP="00801E69">
            <w:pPr>
              <w:jc w:val="center"/>
            </w:pPr>
          </w:p>
        </w:tc>
      </w:tr>
      <w:tr w:rsidR="00801E69" w:rsidRPr="00801E69" w:rsidTr="00801E69">
        <w:tc>
          <w:tcPr>
            <w:tcW w:w="1008" w:type="dxa"/>
          </w:tcPr>
          <w:p w:rsidR="00801E69" w:rsidRPr="00801E69" w:rsidRDefault="00801E69" w:rsidP="00801E69">
            <w:pPr>
              <w:jc w:val="center"/>
              <w:rPr>
                <w:i/>
              </w:rPr>
            </w:pPr>
            <w:r w:rsidRPr="00801E69">
              <w:rPr>
                <w:i/>
              </w:rPr>
              <w:t>Wine</w:t>
            </w:r>
          </w:p>
        </w:tc>
        <w:tc>
          <w:tcPr>
            <w:tcW w:w="1008" w:type="dxa"/>
          </w:tcPr>
          <w:p w:rsidR="00801E69" w:rsidRPr="00801E69" w:rsidRDefault="00801E69" w:rsidP="00801E69">
            <w:pPr>
              <w:jc w:val="center"/>
              <w:rPr>
                <w:i/>
              </w:rPr>
            </w:pPr>
            <w:r w:rsidRPr="00801E69">
              <w:rPr>
                <w:i/>
              </w:rPr>
              <w:t>None</w:t>
            </w:r>
          </w:p>
        </w:tc>
        <w:tc>
          <w:tcPr>
            <w:tcW w:w="1008" w:type="dxa"/>
          </w:tcPr>
          <w:p w:rsidR="00801E69" w:rsidRPr="00801E69" w:rsidRDefault="00801E69" w:rsidP="00801E69">
            <w:pPr>
              <w:jc w:val="center"/>
              <w:rPr>
                <w:i/>
              </w:rPr>
            </w:pPr>
            <w:r w:rsidRPr="00801E69">
              <w:rPr>
                <w:i/>
              </w:rPr>
              <w:t>French</w:t>
            </w:r>
          </w:p>
        </w:tc>
        <w:tc>
          <w:tcPr>
            <w:tcW w:w="1008" w:type="dxa"/>
          </w:tcPr>
          <w:p w:rsidR="00801E69" w:rsidRPr="00801E69" w:rsidRDefault="00801E69" w:rsidP="00801E69">
            <w:pPr>
              <w:jc w:val="center"/>
              <w:rPr>
                <w:i/>
              </w:rPr>
            </w:pPr>
            <w:r w:rsidRPr="00801E69">
              <w:rPr>
                <w:i/>
              </w:rPr>
              <w:t>Italian</w:t>
            </w:r>
          </w:p>
        </w:tc>
        <w:tc>
          <w:tcPr>
            <w:tcW w:w="1008" w:type="dxa"/>
          </w:tcPr>
          <w:p w:rsidR="00801E69" w:rsidRPr="00801E69" w:rsidRDefault="00801E69" w:rsidP="00801E69">
            <w:pPr>
              <w:jc w:val="center"/>
              <w:rPr>
                <w:i/>
              </w:rPr>
            </w:pPr>
            <w:r w:rsidRPr="00801E69">
              <w:rPr>
                <w:i/>
              </w:rPr>
              <w:t>Total</w:t>
            </w:r>
          </w:p>
        </w:tc>
      </w:tr>
      <w:tr w:rsidR="00801E69" w:rsidRPr="00801E69" w:rsidTr="00801E69">
        <w:tc>
          <w:tcPr>
            <w:tcW w:w="1008" w:type="dxa"/>
          </w:tcPr>
          <w:p w:rsidR="00801E69" w:rsidRPr="00801E69" w:rsidRDefault="00801E69" w:rsidP="00801E69">
            <w:pPr>
              <w:jc w:val="center"/>
              <w:rPr>
                <w:i/>
              </w:rPr>
            </w:pPr>
            <w:r w:rsidRPr="00801E69">
              <w:rPr>
                <w:i/>
              </w:rPr>
              <w:t>French</w:t>
            </w:r>
          </w:p>
        </w:tc>
        <w:tc>
          <w:tcPr>
            <w:tcW w:w="1008" w:type="dxa"/>
          </w:tcPr>
          <w:p w:rsidR="00801E69" w:rsidRPr="00801E69" w:rsidRDefault="00801E69" w:rsidP="00801E69">
            <w:pPr>
              <w:jc w:val="center"/>
            </w:pPr>
            <w:r w:rsidRPr="00801E69">
              <w:t>30</w:t>
            </w:r>
          </w:p>
        </w:tc>
        <w:tc>
          <w:tcPr>
            <w:tcW w:w="1008" w:type="dxa"/>
          </w:tcPr>
          <w:p w:rsidR="00801E69" w:rsidRPr="00801E69" w:rsidRDefault="00801E69" w:rsidP="00801E69">
            <w:pPr>
              <w:jc w:val="center"/>
            </w:pPr>
            <w:r w:rsidRPr="00801E69">
              <w:t>39</w:t>
            </w:r>
          </w:p>
        </w:tc>
        <w:tc>
          <w:tcPr>
            <w:tcW w:w="1008" w:type="dxa"/>
          </w:tcPr>
          <w:p w:rsidR="00801E69" w:rsidRPr="00801E69" w:rsidRDefault="00801E69" w:rsidP="00801E69">
            <w:pPr>
              <w:jc w:val="center"/>
            </w:pPr>
            <w:r w:rsidRPr="00801E69">
              <w:t>30</w:t>
            </w:r>
          </w:p>
        </w:tc>
        <w:tc>
          <w:tcPr>
            <w:tcW w:w="1008" w:type="dxa"/>
          </w:tcPr>
          <w:p w:rsidR="00801E69" w:rsidRPr="00801E69" w:rsidRDefault="00801E69" w:rsidP="00801E69">
            <w:pPr>
              <w:jc w:val="center"/>
            </w:pPr>
            <w:r w:rsidRPr="00801E69">
              <w:t>99</w:t>
            </w:r>
          </w:p>
        </w:tc>
      </w:tr>
      <w:tr w:rsidR="00801E69" w:rsidRPr="00801E69" w:rsidTr="00801E69">
        <w:tc>
          <w:tcPr>
            <w:tcW w:w="1008" w:type="dxa"/>
          </w:tcPr>
          <w:p w:rsidR="00801E69" w:rsidRPr="00801E69" w:rsidRDefault="00801E69" w:rsidP="00801E69">
            <w:pPr>
              <w:jc w:val="center"/>
              <w:rPr>
                <w:i/>
              </w:rPr>
            </w:pPr>
            <w:r w:rsidRPr="00801E69">
              <w:rPr>
                <w:i/>
              </w:rPr>
              <w:t>Italian</w:t>
            </w:r>
          </w:p>
        </w:tc>
        <w:tc>
          <w:tcPr>
            <w:tcW w:w="1008" w:type="dxa"/>
          </w:tcPr>
          <w:p w:rsidR="00801E69" w:rsidRPr="00801E69" w:rsidRDefault="00801E69" w:rsidP="00801E69">
            <w:pPr>
              <w:jc w:val="center"/>
            </w:pPr>
            <w:r w:rsidRPr="00801E69">
              <w:t>11</w:t>
            </w:r>
          </w:p>
        </w:tc>
        <w:tc>
          <w:tcPr>
            <w:tcW w:w="1008" w:type="dxa"/>
          </w:tcPr>
          <w:p w:rsidR="00801E69" w:rsidRPr="00801E69" w:rsidRDefault="00801E69" w:rsidP="00801E69">
            <w:pPr>
              <w:jc w:val="center"/>
            </w:pPr>
            <w:r w:rsidRPr="00801E69">
              <w:t>1</w:t>
            </w:r>
          </w:p>
        </w:tc>
        <w:tc>
          <w:tcPr>
            <w:tcW w:w="1008" w:type="dxa"/>
          </w:tcPr>
          <w:p w:rsidR="00801E69" w:rsidRPr="00801E69" w:rsidRDefault="00801E69" w:rsidP="00801E69">
            <w:pPr>
              <w:jc w:val="center"/>
            </w:pPr>
            <w:r w:rsidRPr="00801E69">
              <w:t>19</w:t>
            </w:r>
          </w:p>
        </w:tc>
        <w:tc>
          <w:tcPr>
            <w:tcW w:w="1008" w:type="dxa"/>
          </w:tcPr>
          <w:p w:rsidR="00801E69" w:rsidRPr="00801E69" w:rsidRDefault="00801E69" w:rsidP="00801E69">
            <w:pPr>
              <w:jc w:val="center"/>
            </w:pPr>
            <w:r w:rsidRPr="00801E69">
              <w:t>31</w:t>
            </w:r>
          </w:p>
        </w:tc>
      </w:tr>
      <w:tr w:rsidR="00801E69" w:rsidRPr="00801E69" w:rsidTr="00801E69">
        <w:tc>
          <w:tcPr>
            <w:tcW w:w="1008" w:type="dxa"/>
          </w:tcPr>
          <w:p w:rsidR="00801E69" w:rsidRPr="00801E69" w:rsidRDefault="00801E69" w:rsidP="00801E69">
            <w:pPr>
              <w:jc w:val="center"/>
              <w:rPr>
                <w:i/>
              </w:rPr>
            </w:pPr>
            <w:r w:rsidRPr="00801E69">
              <w:rPr>
                <w:i/>
              </w:rPr>
              <w:t>Other</w:t>
            </w:r>
          </w:p>
        </w:tc>
        <w:tc>
          <w:tcPr>
            <w:tcW w:w="1008" w:type="dxa"/>
          </w:tcPr>
          <w:p w:rsidR="00801E69" w:rsidRPr="00801E69" w:rsidRDefault="00801E69" w:rsidP="00801E69">
            <w:pPr>
              <w:jc w:val="center"/>
            </w:pPr>
            <w:r w:rsidRPr="00801E69">
              <w:t>43</w:t>
            </w:r>
          </w:p>
        </w:tc>
        <w:tc>
          <w:tcPr>
            <w:tcW w:w="1008" w:type="dxa"/>
          </w:tcPr>
          <w:p w:rsidR="00801E69" w:rsidRPr="00801E69" w:rsidRDefault="00801E69" w:rsidP="00801E69">
            <w:pPr>
              <w:jc w:val="center"/>
            </w:pPr>
            <w:r w:rsidRPr="00801E69">
              <w:t>35</w:t>
            </w:r>
          </w:p>
        </w:tc>
        <w:tc>
          <w:tcPr>
            <w:tcW w:w="1008" w:type="dxa"/>
          </w:tcPr>
          <w:p w:rsidR="00801E69" w:rsidRPr="00801E69" w:rsidRDefault="00801E69" w:rsidP="00801E69">
            <w:pPr>
              <w:jc w:val="center"/>
            </w:pPr>
            <w:r w:rsidRPr="00801E69">
              <w:t>35</w:t>
            </w:r>
          </w:p>
        </w:tc>
        <w:tc>
          <w:tcPr>
            <w:tcW w:w="1008" w:type="dxa"/>
          </w:tcPr>
          <w:p w:rsidR="00801E69" w:rsidRPr="00801E69" w:rsidRDefault="00801E69" w:rsidP="00801E69">
            <w:pPr>
              <w:jc w:val="center"/>
            </w:pPr>
            <w:r w:rsidRPr="00801E69">
              <w:t>113</w:t>
            </w:r>
          </w:p>
        </w:tc>
      </w:tr>
      <w:tr w:rsidR="00801E69" w:rsidRPr="00801E69" w:rsidTr="00801E69">
        <w:tc>
          <w:tcPr>
            <w:tcW w:w="1008" w:type="dxa"/>
          </w:tcPr>
          <w:p w:rsidR="00801E69" w:rsidRPr="00801E69" w:rsidRDefault="00801E69" w:rsidP="00801E69">
            <w:pPr>
              <w:jc w:val="center"/>
              <w:rPr>
                <w:i/>
              </w:rPr>
            </w:pPr>
            <w:r w:rsidRPr="00801E69">
              <w:rPr>
                <w:i/>
              </w:rPr>
              <w:t>Total</w:t>
            </w:r>
          </w:p>
        </w:tc>
        <w:tc>
          <w:tcPr>
            <w:tcW w:w="1008" w:type="dxa"/>
          </w:tcPr>
          <w:p w:rsidR="00801E69" w:rsidRPr="00801E69" w:rsidRDefault="00801E69" w:rsidP="00801E69">
            <w:pPr>
              <w:jc w:val="center"/>
            </w:pPr>
            <w:r w:rsidRPr="00801E69">
              <w:t>84</w:t>
            </w:r>
          </w:p>
        </w:tc>
        <w:tc>
          <w:tcPr>
            <w:tcW w:w="1008" w:type="dxa"/>
          </w:tcPr>
          <w:p w:rsidR="00801E69" w:rsidRPr="00801E69" w:rsidRDefault="00801E69" w:rsidP="00801E69">
            <w:pPr>
              <w:jc w:val="center"/>
            </w:pPr>
            <w:r w:rsidRPr="00801E69">
              <w:t>75</w:t>
            </w:r>
          </w:p>
        </w:tc>
        <w:tc>
          <w:tcPr>
            <w:tcW w:w="1008" w:type="dxa"/>
          </w:tcPr>
          <w:p w:rsidR="00801E69" w:rsidRPr="00801E69" w:rsidRDefault="00801E69" w:rsidP="00801E69">
            <w:pPr>
              <w:jc w:val="center"/>
            </w:pPr>
            <w:r w:rsidRPr="00801E69">
              <w:t>84</w:t>
            </w:r>
          </w:p>
        </w:tc>
        <w:tc>
          <w:tcPr>
            <w:tcW w:w="1008" w:type="dxa"/>
          </w:tcPr>
          <w:p w:rsidR="00801E69" w:rsidRPr="00801E69" w:rsidRDefault="00801E69" w:rsidP="00801E69">
            <w:pPr>
              <w:jc w:val="center"/>
            </w:pPr>
            <w:r w:rsidRPr="00801E69">
              <w:t>243</w:t>
            </w:r>
          </w:p>
        </w:tc>
      </w:tr>
    </w:tbl>
    <w:p w:rsidR="00801E69" w:rsidRPr="00801E69" w:rsidRDefault="00801E69" w:rsidP="00801E69">
      <w:pPr>
        <w:ind w:left="360"/>
      </w:pPr>
    </w:p>
    <w:p w:rsidR="00CC205F" w:rsidRDefault="00CC205F" w:rsidP="00801E69"/>
    <w:p w:rsidR="00CC205F" w:rsidRDefault="00CC205F" w:rsidP="00801E69"/>
    <w:p w:rsidR="00CC205F" w:rsidRDefault="00CC205F"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CC205F" w:rsidRDefault="00854901" w:rsidP="00CC205F">
      <w:pPr>
        <w:autoSpaceDE w:val="0"/>
        <w:autoSpaceDN w:val="0"/>
        <w:adjustRightInd w:val="0"/>
        <w:rPr>
          <w:rFonts w:eastAsiaTheme="minorHAnsi"/>
        </w:rPr>
      </w:pPr>
      <w:r>
        <w:rPr>
          <w:rFonts w:eastAsiaTheme="minorHAnsi"/>
        </w:rPr>
        <w:t>4</w:t>
      </w:r>
      <w:r w:rsidR="00CC205F">
        <w:rPr>
          <w:rFonts w:eastAsiaTheme="minorHAnsi"/>
        </w:rPr>
        <w:t>.  A researcher wanted to determine whether pedestrian deaths were uniformly distributed over the days of the week. She randomly selected 300 pedestrian deaths, recorded the day of the week on which the death occurred, and obtained the following results (data is from Insurance Institute of Highway Safety).</w:t>
      </w:r>
    </w:p>
    <w:p w:rsidR="00CC205F" w:rsidRDefault="00CC205F" w:rsidP="00CC205F">
      <w:pPr>
        <w:autoSpaceDE w:val="0"/>
        <w:autoSpaceDN w:val="0"/>
        <w:adjustRightInd w:val="0"/>
        <w:rPr>
          <w:rFonts w:eastAsia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10"/>
        <w:gridCol w:w="916"/>
        <w:gridCol w:w="916"/>
        <w:gridCol w:w="916"/>
        <w:gridCol w:w="923"/>
        <w:gridCol w:w="903"/>
        <w:gridCol w:w="905"/>
      </w:tblGrid>
      <w:tr w:rsidR="00CC205F" w:rsidTr="00CC205F">
        <w:trPr>
          <w:trHeight w:val="251"/>
        </w:trPr>
        <w:tc>
          <w:tcPr>
            <w:tcW w:w="942"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Day</w:t>
            </w:r>
          </w:p>
        </w:tc>
        <w:tc>
          <w:tcPr>
            <w:tcW w:w="910"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Sun</w:t>
            </w:r>
          </w:p>
        </w:tc>
        <w:tc>
          <w:tcPr>
            <w:tcW w:w="916"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Mon</w:t>
            </w:r>
          </w:p>
        </w:tc>
        <w:tc>
          <w:tcPr>
            <w:tcW w:w="916"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Tues</w:t>
            </w:r>
          </w:p>
        </w:tc>
        <w:tc>
          <w:tcPr>
            <w:tcW w:w="916"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Wed</w:t>
            </w:r>
          </w:p>
        </w:tc>
        <w:tc>
          <w:tcPr>
            <w:tcW w:w="923"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Thurs</w:t>
            </w:r>
          </w:p>
        </w:tc>
        <w:tc>
          <w:tcPr>
            <w:tcW w:w="903"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Fri</w:t>
            </w:r>
          </w:p>
        </w:tc>
        <w:tc>
          <w:tcPr>
            <w:tcW w:w="905"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Sat</w:t>
            </w:r>
          </w:p>
        </w:tc>
      </w:tr>
      <w:tr w:rsidR="00CC205F" w:rsidTr="00CC205F">
        <w:trPr>
          <w:trHeight w:val="515"/>
        </w:trPr>
        <w:tc>
          <w:tcPr>
            <w:tcW w:w="942"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 of fatalities</w:t>
            </w:r>
          </w:p>
        </w:tc>
        <w:tc>
          <w:tcPr>
            <w:tcW w:w="910"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30</w:t>
            </w:r>
          </w:p>
        </w:tc>
        <w:tc>
          <w:tcPr>
            <w:tcW w:w="916"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40</w:t>
            </w:r>
          </w:p>
        </w:tc>
        <w:tc>
          <w:tcPr>
            <w:tcW w:w="916"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30</w:t>
            </w:r>
          </w:p>
        </w:tc>
        <w:tc>
          <w:tcPr>
            <w:tcW w:w="916"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40</w:t>
            </w:r>
          </w:p>
        </w:tc>
        <w:tc>
          <w:tcPr>
            <w:tcW w:w="923"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41</w:t>
            </w:r>
          </w:p>
        </w:tc>
        <w:tc>
          <w:tcPr>
            <w:tcW w:w="903"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49</w:t>
            </w:r>
          </w:p>
        </w:tc>
        <w:tc>
          <w:tcPr>
            <w:tcW w:w="905" w:type="dxa"/>
          </w:tcPr>
          <w:p w:rsidR="00CC205F" w:rsidRPr="00CC205F" w:rsidRDefault="00CC205F" w:rsidP="00CC205F">
            <w:pPr>
              <w:autoSpaceDE w:val="0"/>
              <w:autoSpaceDN w:val="0"/>
              <w:adjustRightInd w:val="0"/>
              <w:jc w:val="center"/>
              <w:rPr>
                <w:rFonts w:eastAsiaTheme="minorHAnsi"/>
              </w:rPr>
            </w:pPr>
            <w:r w:rsidRPr="00CC205F">
              <w:rPr>
                <w:rFonts w:eastAsiaTheme="minorHAnsi"/>
              </w:rPr>
              <w:t>61</w:t>
            </w:r>
          </w:p>
        </w:tc>
      </w:tr>
    </w:tbl>
    <w:p w:rsidR="00CC205F" w:rsidRDefault="00CC205F" w:rsidP="00CC205F">
      <w:pPr>
        <w:autoSpaceDE w:val="0"/>
        <w:autoSpaceDN w:val="0"/>
        <w:adjustRightInd w:val="0"/>
        <w:rPr>
          <w:rFonts w:eastAsiaTheme="minorHAnsi"/>
        </w:rPr>
      </w:pPr>
    </w:p>
    <w:p w:rsidR="00CC205F" w:rsidRDefault="00CC205F" w:rsidP="00CC205F">
      <w:pPr>
        <w:rPr>
          <w:rFonts w:eastAsiaTheme="minorHAnsi"/>
        </w:rPr>
      </w:pPr>
      <w:r>
        <w:rPr>
          <w:rFonts w:eastAsiaTheme="minorHAnsi"/>
        </w:rPr>
        <w:t>Are pedestrian fatalities equally likely on the days of the week?</w:t>
      </w:r>
    </w:p>
    <w:p w:rsidR="00CC205F" w:rsidRDefault="00CC205F" w:rsidP="00CC205F">
      <w:pPr>
        <w:rPr>
          <w:rFonts w:eastAsiaTheme="minorHAnsi"/>
        </w:rPr>
      </w:pPr>
    </w:p>
    <w:p w:rsidR="00CC205F" w:rsidRDefault="00CC205F"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01E69"/>
    <w:p w:rsidR="00854901" w:rsidRDefault="00854901" w:rsidP="00854901">
      <w:pPr>
        <w:autoSpaceDE w:val="0"/>
        <w:autoSpaceDN w:val="0"/>
        <w:adjustRightInd w:val="0"/>
        <w:rPr>
          <w:rFonts w:eastAsiaTheme="minorHAnsi"/>
        </w:rPr>
      </w:pPr>
      <w:r>
        <w:rPr>
          <w:rFonts w:eastAsiaTheme="minorHAnsi"/>
        </w:rPr>
        <w:lastRenderedPageBreak/>
        <w:t>5</w:t>
      </w:r>
      <w:r w:rsidR="00CC205F">
        <w:rPr>
          <w:rFonts w:eastAsiaTheme="minorHAnsi"/>
        </w:rPr>
        <w:t xml:space="preserve">.  An urban economist wants to determine whether the region of the US a resident lives in is associated with their general level of satisfaction with life. He randomly selects 150 residents 18 years of age or older from 4 geographic regions of the US: East, South, Midwest, and West. He asks: “are you satisfied or dissatisfied with the way things are going in the United States at this time?”  </w:t>
      </w:r>
      <w:r>
        <w:rPr>
          <w:rFonts w:eastAsiaTheme="minorHAnsi"/>
        </w:rPr>
        <w:t>Is there a difference in people’s responses based on their geographic area?</w:t>
      </w:r>
    </w:p>
    <w:p w:rsidR="00CC205F" w:rsidRDefault="00CC205F" w:rsidP="00CC205F">
      <w:pPr>
        <w:autoSpaceDE w:val="0"/>
        <w:autoSpaceDN w:val="0"/>
        <w:adjustRightInd w:val="0"/>
        <w:rPr>
          <w:rFonts w:eastAsiaTheme="minorHAnsi"/>
        </w:rPr>
      </w:pPr>
    </w:p>
    <w:tbl>
      <w:tblPr>
        <w:tblW w:w="0" w:type="auto"/>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915"/>
        <w:gridCol w:w="900"/>
        <w:gridCol w:w="1260"/>
        <w:gridCol w:w="900"/>
      </w:tblGrid>
      <w:tr w:rsidR="00CC205F" w:rsidTr="00854901">
        <w:tc>
          <w:tcPr>
            <w:tcW w:w="1351" w:type="dxa"/>
          </w:tcPr>
          <w:p w:rsidR="00CC205F" w:rsidRPr="00CC205F" w:rsidRDefault="00CC205F" w:rsidP="00CC205F">
            <w:pPr>
              <w:autoSpaceDE w:val="0"/>
              <w:autoSpaceDN w:val="0"/>
              <w:adjustRightInd w:val="0"/>
              <w:rPr>
                <w:rFonts w:eastAsiaTheme="minorHAnsi"/>
              </w:rPr>
            </w:pPr>
            <w:r w:rsidRPr="00CC205F">
              <w:rPr>
                <w:rFonts w:eastAsiaTheme="minorHAnsi"/>
              </w:rPr>
              <w:t>Satisfaction</w:t>
            </w:r>
          </w:p>
        </w:tc>
        <w:tc>
          <w:tcPr>
            <w:tcW w:w="915" w:type="dxa"/>
          </w:tcPr>
          <w:p w:rsidR="00CC205F" w:rsidRPr="00CC205F" w:rsidRDefault="00CC205F" w:rsidP="00CC205F">
            <w:pPr>
              <w:autoSpaceDE w:val="0"/>
              <w:autoSpaceDN w:val="0"/>
              <w:adjustRightInd w:val="0"/>
              <w:rPr>
                <w:rFonts w:eastAsiaTheme="minorHAnsi"/>
              </w:rPr>
            </w:pPr>
            <w:r w:rsidRPr="00CC205F">
              <w:rPr>
                <w:rFonts w:eastAsiaTheme="minorHAnsi"/>
              </w:rPr>
              <w:t>East</w:t>
            </w:r>
          </w:p>
        </w:tc>
        <w:tc>
          <w:tcPr>
            <w:tcW w:w="900" w:type="dxa"/>
          </w:tcPr>
          <w:p w:rsidR="00CC205F" w:rsidRPr="00CC205F" w:rsidRDefault="00CC205F" w:rsidP="00CC205F">
            <w:pPr>
              <w:autoSpaceDE w:val="0"/>
              <w:autoSpaceDN w:val="0"/>
              <w:adjustRightInd w:val="0"/>
              <w:rPr>
                <w:rFonts w:eastAsiaTheme="minorHAnsi"/>
              </w:rPr>
            </w:pPr>
            <w:r w:rsidRPr="00CC205F">
              <w:rPr>
                <w:rFonts w:eastAsiaTheme="minorHAnsi"/>
              </w:rPr>
              <w:t>South</w:t>
            </w:r>
          </w:p>
        </w:tc>
        <w:tc>
          <w:tcPr>
            <w:tcW w:w="1260" w:type="dxa"/>
          </w:tcPr>
          <w:p w:rsidR="00CC205F" w:rsidRPr="00CC205F" w:rsidRDefault="00CC205F" w:rsidP="00CC205F">
            <w:pPr>
              <w:autoSpaceDE w:val="0"/>
              <w:autoSpaceDN w:val="0"/>
              <w:adjustRightInd w:val="0"/>
              <w:rPr>
                <w:rFonts w:eastAsiaTheme="minorHAnsi"/>
              </w:rPr>
            </w:pPr>
            <w:r w:rsidRPr="00CC205F">
              <w:rPr>
                <w:rFonts w:eastAsiaTheme="minorHAnsi"/>
              </w:rPr>
              <w:t>Midwest</w:t>
            </w:r>
          </w:p>
        </w:tc>
        <w:tc>
          <w:tcPr>
            <w:tcW w:w="900" w:type="dxa"/>
          </w:tcPr>
          <w:p w:rsidR="00CC205F" w:rsidRPr="00CC205F" w:rsidRDefault="00CC205F" w:rsidP="00CC205F">
            <w:pPr>
              <w:autoSpaceDE w:val="0"/>
              <w:autoSpaceDN w:val="0"/>
              <w:adjustRightInd w:val="0"/>
              <w:rPr>
                <w:rFonts w:eastAsiaTheme="minorHAnsi"/>
              </w:rPr>
            </w:pPr>
            <w:r w:rsidRPr="00CC205F">
              <w:rPr>
                <w:rFonts w:eastAsiaTheme="minorHAnsi"/>
              </w:rPr>
              <w:t>West</w:t>
            </w:r>
          </w:p>
        </w:tc>
      </w:tr>
      <w:tr w:rsidR="00CC205F" w:rsidTr="00854901">
        <w:tc>
          <w:tcPr>
            <w:tcW w:w="1351" w:type="dxa"/>
          </w:tcPr>
          <w:p w:rsidR="00CC205F" w:rsidRPr="00CC205F" w:rsidRDefault="00CC205F" w:rsidP="00CC205F">
            <w:pPr>
              <w:autoSpaceDE w:val="0"/>
              <w:autoSpaceDN w:val="0"/>
              <w:adjustRightInd w:val="0"/>
              <w:rPr>
                <w:rFonts w:eastAsiaTheme="minorHAnsi"/>
              </w:rPr>
            </w:pPr>
            <w:r w:rsidRPr="00CC205F">
              <w:rPr>
                <w:rFonts w:eastAsiaTheme="minorHAnsi"/>
              </w:rPr>
              <w:t>Satisfied</w:t>
            </w:r>
          </w:p>
        </w:tc>
        <w:tc>
          <w:tcPr>
            <w:tcW w:w="915" w:type="dxa"/>
          </w:tcPr>
          <w:p w:rsidR="00CC205F" w:rsidRPr="00CC205F" w:rsidRDefault="00CC205F" w:rsidP="00CC205F">
            <w:pPr>
              <w:autoSpaceDE w:val="0"/>
              <w:autoSpaceDN w:val="0"/>
              <w:adjustRightInd w:val="0"/>
              <w:rPr>
                <w:rFonts w:eastAsiaTheme="minorHAnsi"/>
              </w:rPr>
            </w:pPr>
            <w:r w:rsidRPr="00CC205F">
              <w:rPr>
                <w:rFonts w:eastAsiaTheme="minorHAnsi"/>
              </w:rPr>
              <w:t>77</w:t>
            </w:r>
          </w:p>
        </w:tc>
        <w:tc>
          <w:tcPr>
            <w:tcW w:w="900" w:type="dxa"/>
          </w:tcPr>
          <w:p w:rsidR="00CC205F" w:rsidRPr="00CC205F" w:rsidRDefault="00CC205F" w:rsidP="00CC205F">
            <w:pPr>
              <w:autoSpaceDE w:val="0"/>
              <w:autoSpaceDN w:val="0"/>
              <w:adjustRightInd w:val="0"/>
              <w:rPr>
                <w:rFonts w:eastAsiaTheme="minorHAnsi"/>
              </w:rPr>
            </w:pPr>
            <w:r w:rsidRPr="00CC205F">
              <w:rPr>
                <w:rFonts w:eastAsiaTheme="minorHAnsi"/>
              </w:rPr>
              <w:t>84</w:t>
            </w:r>
          </w:p>
        </w:tc>
        <w:tc>
          <w:tcPr>
            <w:tcW w:w="1260" w:type="dxa"/>
          </w:tcPr>
          <w:p w:rsidR="00CC205F" w:rsidRPr="00CC205F" w:rsidRDefault="00CC205F" w:rsidP="00CC205F">
            <w:pPr>
              <w:autoSpaceDE w:val="0"/>
              <w:autoSpaceDN w:val="0"/>
              <w:adjustRightInd w:val="0"/>
              <w:rPr>
                <w:rFonts w:eastAsiaTheme="minorHAnsi"/>
              </w:rPr>
            </w:pPr>
            <w:r w:rsidRPr="00CC205F">
              <w:rPr>
                <w:rFonts w:eastAsiaTheme="minorHAnsi"/>
              </w:rPr>
              <w:t>93</w:t>
            </w:r>
          </w:p>
        </w:tc>
        <w:tc>
          <w:tcPr>
            <w:tcW w:w="900" w:type="dxa"/>
          </w:tcPr>
          <w:p w:rsidR="00CC205F" w:rsidRPr="00CC205F" w:rsidRDefault="00CC205F" w:rsidP="00CC205F">
            <w:pPr>
              <w:autoSpaceDE w:val="0"/>
              <w:autoSpaceDN w:val="0"/>
              <w:adjustRightInd w:val="0"/>
              <w:rPr>
                <w:rFonts w:eastAsiaTheme="minorHAnsi"/>
              </w:rPr>
            </w:pPr>
            <w:r w:rsidRPr="00CC205F">
              <w:rPr>
                <w:rFonts w:eastAsiaTheme="minorHAnsi"/>
              </w:rPr>
              <w:t>83</w:t>
            </w:r>
          </w:p>
        </w:tc>
      </w:tr>
      <w:tr w:rsidR="00CC205F" w:rsidTr="00854901">
        <w:tc>
          <w:tcPr>
            <w:tcW w:w="1351" w:type="dxa"/>
          </w:tcPr>
          <w:p w:rsidR="00CC205F" w:rsidRPr="00CC205F" w:rsidRDefault="00CC205F" w:rsidP="00CC205F">
            <w:pPr>
              <w:autoSpaceDE w:val="0"/>
              <w:autoSpaceDN w:val="0"/>
              <w:adjustRightInd w:val="0"/>
              <w:rPr>
                <w:rFonts w:eastAsiaTheme="minorHAnsi"/>
              </w:rPr>
            </w:pPr>
            <w:r w:rsidRPr="00CC205F">
              <w:rPr>
                <w:rFonts w:eastAsiaTheme="minorHAnsi"/>
              </w:rPr>
              <w:t>Dissatisfied</w:t>
            </w:r>
          </w:p>
        </w:tc>
        <w:tc>
          <w:tcPr>
            <w:tcW w:w="915" w:type="dxa"/>
          </w:tcPr>
          <w:p w:rsidR="00CC205F" w:rsidRPr="00CC205F" w:rsidRDefault="00CC205F" w:rsidP="00CC205F">
            <w:pPr>
              <w:autoSpaceDE w:val="0"/>
              <w:autoSpaceDN w:val="0"/>
              <w:adjustRightInd w:val="0"/>
              <w:rPr>
                <w:rFonts w:eastAsiaTheme="minorHAnsi"/>
              </w:rPr>
            </w:pPr>
            <w:r w:rsidRPr="00CC205F">
              <w:rPr>
                <w:rFonts w:eastAsiaTheme="minorHAnsi"/>
              </w:rPr>
              <w:t>73</w:t>
            </w:r>
          </w:p>
        </w:tc>
        <w:tc>
          <w:tcPr>
            <w:tcW w:w="900" w:type="dxa"/>
          </w:tcPr>
          <w:p w:rsidR="00CC205F" w:rsidRPr="00CC205F" w:rsidRDefault="00CC205F" w:rsidP="00CC205F">
            <w:pPr>
              <w:autoSpaceDE w:val="0"/>
              <w:autoSpaceDN w:val="0"/>
              <w:adjustRightInd w:val="0"/>
              <w:rPr>
                <w:rFonts w:eastAsiaTheme="minorHAnsi"/>
              </w:rPr>
            </w:pPr>
            <w:r w:rsidRPr="00CC205F">
              <w:rPr>
                <w:rFonts w:eastAsiaTheme="minorHAnsi"/>
              </w:rPr>
              <w:t>66</w:t>
            </w:r>
          </w:p>
        </w:tc>
        <w:tc>
          <w:tcPr>
            <w:tcW w:w="1260" w:type="dxa"/>
          </w:tcPr>
          <w:p w:rsidR="00CC205F" w:rsidRPr="00CC205F" w:rsidRDefault="00CC205F" w:rsidP="00CC205F">
            <w:pPr>
              <w:autoSpaceDE w:val="0"/>
              <w:autoSpaceDN w:val="0"/>
              <w:adjustRightInd w:val="0"/>
              <w:rPr>
                <w:rFonts w:eastAsiaTheme="minorHAnsi"/>
              </w:rPr>
            </w:pPr>
            <w:r w:rsidRPr="00CC205F">
              <w:rPr>
                <w:rFonts w:eastAsiaTheme="minorHAnsi"/>
              </w:rPr>
              <w:t>57</w:t>
            </w:r>
          </w:p>
        </w:tc>
        <w:tc>
          <w:tcPr>
            <w:tcW w:w="900" w:type="dxa"/>
          </w:tcPr>
          <w:p w:rsidR="00CC205F" w:rsidRPr="00CC205F" w:rsidRDefault="00CC205F" w:rsidP="00CC205F">
            <w:pPr>
              <w:autoSpaceDE w:val="0"/>
              <w:autoSpaceDN w:val="0"/>
              <w:adjustRightInd w:val="0"/>
              <w:rPr>
                <w:rFonts w:eastAsiaTheme="minorHAnsi"/>
              </w:rPr>
            </w:pPr>
            <w:r w:rsidRPr="00CC205F">
              <w:rPr>
                <w:rFonts w:eastAsiaTheme="minorHAnsi"/>
              </w:rPr>
              <w:t>67</w:t>
            </w:r>
          </w:p>
        </w:tc>
      </w:tr>
    </w:tbl>
    <w:p w:rsidR="00CC205F" w:rsidRDefault="00CC205F" w:rsidP="00CC205F">
      <w:pPr>
        <w:autoSpaceDE w:val="0"/>
        <w:autoSpaceDN w:val="0"/>
        <w:adjustRightInd w:val="0"/>
        <w:rPr>
          <w:rFonts w:eastAsiaTheme="minorHAnsi"/>
        </w:rPr>
      </w:pPr>
    </w:p>
    <w:sectPr w:rsidR="00CC205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7574F"/>
    <w:multiLevelType w:val="hybridMultilevel"/>
    <w:tmpl w:val="0562D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5"/>
    <w:rsid w:val="000A62AA"/>
    <w:rsid w:val="00212D6A"/>
    <w:rsid w:val="0040786E"/>
    <w:rsid w:val="00801E69"/>
    <w:rsid w:val="00854901"/>
    <w:rsid w:val="009544F0"/>
    <w:rsid w:val="00AC4D95"/>
    <w:rsid w:val="00C7776A"/>
    <w:rsid w:val="00CC205F"/>
    <w:rsid w:val="00E7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764F5-A182-4749-BEA3-84A3A6DC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13 – Chi Square Procedures for Table Inference</vt:lpstr>
    </vt:vector>
  </TitlesOfParts>
  <Company>Microsoft Corporation</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 Chi Square Procedures for Table Inference</dc:title>
  <dc:subject/>
  <dc:creator>Carole Barber</dc:creator>
  <cp:keywords/>
  <dc:description/>
  <cp:lastModifiedBy>kmurphy3</cp:lastModifiedBy>
  <cp:revision>2</cp:revision>
  <dcterms:created xsi:type="dcterms:W3CDTF">2016-12-09T12:02:00Z</dcterms:created>
  <dcterms:modified xsi:type="dcterms:W3CDTF">2016-12-09T12:02:00Z</dcterms:modified>
</cp:coreProperties>
</file>